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wordWrap w:val="0"/>
        <w:spacing w:line="300" w:lineRule="atLeast"/>
        <w:jc w:val="center"/>
        <w:rPr>
          <w:rFonts w:ascii="幼圆" w:hAnsi="微软雅黑" w:eastAsia="幼圆" w:cs="Times New Roman"/>
          <w:b/>
          <w:bCs/>
          <w:color w:val="333333"/>
          <w:kern w:val="0"/>
          <w:sz w:val="36"/>
          <w:szCs w:val="36"/>
        </w:rPr>
      </w:pPr>
      <w:r>
        <w:rPr>
          <w:rFonts w:hint="eastAsia" w:ascii="幼圆" w:hAnsi="微软雅黑" w:eastAsia="幼圆" w:cs="Times New Roman"/>
          <w:b/>
          <w:bCs/>
          <w:color w:val="333333"/>
          <w:kern w:val="0"/>
          <w:sz w:val="36"/>
          <w:szCs w:val="36"/>
        </w:rPr>
        <w:t>横州市六景工业园区水质净化厂、六景工业园区南部水质净化厂特许经营项目市场参与调查文件</w:t>
      </w:r>
    </w:p>
    <w:p>
      <w:pPr>
        <w:widowControl/>
        <w:wordWrap w:val="0"/>
        <w:spacing w:before="156" w:beforeLines="50" w:after="156" w:afterLines="50" w:line="300" w:lineRule="auto"/>
        <w:jc w:val="left"/>
        <w:rPr>
          <w:rFonts w:ascii="幼圆" w:hAnsi="仿宋" w:eastAsia="幼圆" w:cs="Times New Roman"/>
          <w:b/>
          <w:color w:val="333333"/>
          <w:kern w:val="0"/>
          <w:sz w:val="30"/>
          <w:szCs w:val="30"/>
        </w:rPr>
      </w:pPr>
      <w:r>
        <w:rPr>
          <w:rFonts w:hint="eastAsia" w:ascii="幼圆" w:hAnsi="仿宋" w:eastAsia="幼圆" w:cs="Times New Roman"/>
          <w:b/>
          <w:color w:val="333333"/>
          <w:kern w:val="0"/>
          <w:sz w:val="30"/>
          <w:szCs w:val="30"/>
        </w:rPr>
        <w:t>致潜在社会资本：</w:t>
      </w:r>
    </w:p>
    <w:p>
      <w:pPr>
        <w:keepNext w:val="0"/>
        <w:keepLines w:val="0"/>
        <w:pageBreakBefore w:val="0"/>
        <w:widowControl/>
        <w:kinsoku/>
        <w:overflowPunct/>
        <w:topLinePunct w:val="0"/>
        <w:autoSpaceDE/>
        <w:autoSpaceDN/>
        <w:bidi w:val="0"/>
        <w:adjustRightInd/>
        <w:snapToGrid/>
        <w:spacing w:beforeAutospacing="0" w:afterAutospacing="0" w:line="360" w:lineRule="auto"/>
        <w:ind w:firstLine="600" w:firstLineChars="200"/>
        <w:textAlignment w:val="auto"/>
        <w:rPr>
          <w:rFonts w:ascii="幼圆" w:hAnsi="仿宋" w:eastAsia="幼圆" w:cs="Times New Roman"/>
          <w:color w:val="333333"/>
          <w:kern w:val="0"/>
          <w:sz w:val="30"/>
          <w:szCs w:val="30"/>
        </w:rPr>
      </w:pPr>
      <w:r>
        <w:rPr>
          <w:rFonts w:hint="eastAsia" w:ascii="幼圆" w:hAnsi="仿宋" w:eastAsia="幼圆" w:cs="Times New Roman"/>
          <w:color w:val="333333"/>
          <w:kern w:val="0"/>
          <w:sz w:val="30"/>
          <w:szCs w:val="30"/>
        </w:rPr>
        <w:t>横州市拟于近期启动六景工业园区水质净化厂、六景工业园区南部水质净化厂特许经营项目（以下简称“本项目”），授权横州市住房和城乡建设局作为项目实施机构，</w:t>
      </w:r>
      <w:r>
        <w:rPr>
          <w:rFonts w:hint="eastAsia" w:ascii="幼圆" w:hAnsi="仿宋" w:eastAsia="幼圆" w:cs="仿宋"/>
          <w:sz w:val="30"/>
          <w:szCs w:val="30"/>
        </w:rPr>
        <w:t>具体负责特许经营方案编制、特许经营者选择、特许经营协议签订、项目实施监管、合作期满移交接收等工作。</w:t>
      </w:r>
    </w:p>
    <w:p>
      <w:pPr>
        <w:keepNext w:val="0"/>
        <w:keepLines w:val="0"/>
        <w:pageBreakBefore w:val="0"/>
        <w:widowControl/>
        <w:kinsoku/>
        <w:overflowPunct/>
        <w:topLinePunct w:val="0"/>
        <w:autoSpaceDE/>
        <w:autoSpaceDN/>
        <w:bidi w:val="0"/>
        <w:adjustRightInd/>
        <w:snapToGrid/>
        <w:spacing w:beforeAutospacing="0" w:afterAutospacing="0" w:line="360" w:lineRule="auto"/>
        <w:ind w:firstLine="600" w:firstLineChars="200"/>
        <w:textAlignment w:val="auto"/>
        <w:rPr>
          <w:rFonts w:ascii="幼圆" w:hAnsi="仿宋" w:eastAsia="幼圆" w:cs="Times New Roman"/>
          <w:color w:val="333333"/>
          <w:kern w:val="0"/>
          <w:sz w:val="30"/>
          <w:szCs w:val="30"/>
        </w:rPr>
      </w:pPr>
      <w:r>
        <w:rPr>
          <w:rFonts w:hint="eastAsia" w:ascii="幼圆" w:hAnsi="仿宋" w:eastAsia="幼圆" w:cs="Times New Roman"/>
          <w:color w:val="333333"/>
          <w:kern w:val="0"/>
          <w:sz w:val="30"/>
          <w:szCs w:val="30"/>
        </w:rPr>
        <w:t>本项目依法依规根据</w:t>
      </w:r>
      <w:r>
        <w:rPr>
          <w:rFonts w:hint="eastAsia" w:ascii="幼圆" w:hAnsi="仿宋" w:eastAsia="幼圆"/>
          <w:sz w:val="30"/>
          <w:szCs w:val="30"/>
        </w:rPr>
        <w:t>《国务院办公厅转发国家发展改革委、财政部&lt;关于规范实施政府和社会资本合作新机制的指导意见&gt;的通知》（国办函〔2023〕115号）以及《基础设施和公用事业特许经营管理办法》（2024年第17号令）等相关规定开展</w:t>
      </w:r>
      <w:r>
        <w:rPr>
          <w:rFonts w:hint="eastAsia" w:ascii="幼圆" w:hAnsi="仿宋" w:eastAsia="幼圆" w:cs="Times New Roman"/>
          <w:color w:val="333333"/>
          <w:kern w:val="0"/>
          <w:sz w:val="30"/>
          <w:szCs w:val="30"/>
        </w:rPr>
        <w:t>。</w:t>
      </w:r>
    </w:p>
    <w:p>
      <w:pPr>
        <w:keepNext w:val="0"/>
        <w:keepLines w:val="0"/>
        <w:pageBreakBefore w:val="0"/>
        <w:widowControl/>
        <w:kinsoku/>
        <w:overflowPunct/>
        <w:topLinePunct w:val="0"/>
        <w:autoSpaceDE/>
        <w:autoSpaceDN/>
        <w:bidi w:val="0"/>
        <w:adjustRightInd/>
        <w:snapToGrid/>
        <w:spacing w:beforeAutospacing="0" w:afterAutospacing="0" w:line="360" w:lineRule="auto"/>
        <w:ind w:firstLine="600" w:firstLineChars="200"/>
        <w:textAlignment w:val="auto"/>
        <w:rPr>
          <w:rFonts w:ascii="幼圆" w:hAnsi="仿宋" w:eastAsia="幼圆" w:cs="Times New Roman"/>
          <w:color w:val="333333"/>
          <w:kern w:val="0"/>
          <w:sz w:val="30"/>
          <w:szCs w:val="30"/>
        </w:rPr>
      </w:pPr>
      <w:r>
        <w:rPr>
          <w:rFonts w:hint="eastAsia" w:ascii="幼圆" w:hAnsi="仿宋" w:eastAsia="幼圆" w:cs="Times New Roman"/>
          <w:color w:val="333333"/>
          <w:kern w:val="0"/>
          <w:sz w:val="30"/>
          <w:szCs w:val="30"/>
        </w:rPr>
        <w:t>为顺利推进本项目后续工作，合理确定与保障项目边界条件的必要性、合理性，征询市场参与意见，现将本项目主要边界条件发送贵方，欢迎于</w:t>
      </w:r>
      <w:r>
        <w:rPr>
          <w:rFonts w:hint="eastAsia" w:ascii="幼圆" w:hAnsi="仿宋" w:eastAsia="幼圆" w:cs="Times New Roman"/>
          <w:color w:val="333333"/>
          <w:kern w:val="0"/>
          <w:sz w:val="30"/>
          <w:szCs w:val="30"/>
          <w:lang w:eastAsia="zh-CN"/>
        </w:rPr>
        <w:t>2024年5月19日</w:t>
      </w:r>
      <w:r>
        <w:rPr>
          <w:rFonts w:hint="eastAsia" w:ascii="幼圆" w:hAnsi="仿宋" w:eastAsia="幼圆" w:cs="Times New Roman"/>
          <w:color w:val="333333"/>
          <w:kern w:val="0"/>
          <w:sz w:val="30"/>
          <w:szCs w:val="30"/>
        </w:rPr>
        <w:t>前提出宝贵意见。</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2" w:firstLineChars="200"/>
        <w:jc w:val="left"/>
        <w:textAlignment w:val="auto"/>
        <w:outlineLvl w:val="0"/>
        <w:rPr>
          <w:rFonts w:ascii="幼圆" w:hAnsi="仿宋" w:eastAsia="幼圆" w:cs="Times New Roman"/>
          <w:color w:val="333333"/>
          <w:kern w:val="0"/>
          <w:sz w:val="30"/>
          <w:szCs w:val="30"/>
        </w:rPr>
      </w:pPr>
      <w:r>
        <w:rPr>
          <w:rFonts w:hint="eastAsia" w:ascii="幼圆" w:hAnsi="仿宋" w:eastAsia="幼圆" w:cs="Times New Roman"/>
          <w:b/>
          <w:bCs/>
          <w:color w:val="333333"/>
          <w:kern w:val="0"/>
          <w:sz w:val="30"/>
          <w:szCs w:val="30"/>
        </w:rPr>
        <w:t>一、项目概况及运作方式</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left"/>
        <w:textAlignment w:val="auto"/>
        <w:rPr>
          <w:rFonts w:ascii="幼圆" w:hAnsi="仿宋" w:eastAsia="幼圆" w:cs="Times New Roman"/>
          <w:color w:val="333333"/>
          <w:kern w:val="0"/>
          <w:sz w:val="30"/>
          <w:szCs w:val="30"/>
        </w:rPr>
      </w:pPr>
      <w:r>
        <w:rPr>
          <w:rFonts w:hint="eastAsia" w:ascii="幼圆" w:hAnsi="仿宋" w:eastAsia="幼圆" w:cs="Times New Roman"/>
          <w:color w:val="333333"/>
          <w:kern w:val="0"/>
          <w:sz w:val="30"/>
          <w:szCs w:val="30"/>
        </w:rPr>
        <w:t>本项目现阶段估算总投资约13.7亿元，近期实施约7.02亿元，主要建设内容包括于新建六景工业园区水质净化厂，总设计规模为12万m</w:t>
      </w:r>
      <w:r>
        <w:rPr>
          <w:rFonts w:eastAsia="幼圆" w:cs="Calibri"/>
          <w:color w:val="333333"/>
          <w:kern w:val="0"/>
          <w:sz w:val="30"/>
          <w:szCs w:val="30"/>
        </w:rPr>
        <w:t>³</w:t>
      </w:r>
      <w:r>
        <w:rPr>
          <w:rFonts w:hint="eastAsia" w:ascii="幼圆" w:hAnsi="仿宋" w:eastAsia="幼圆" w:cs="Times New Roman"/>
          <w:color w:val="333333"/>
          <w:kern w:val="0"/>
          <w:sz w:val="30"/>
          <w:szCs w:val="30"/>
        </w:rPr>
        <w:t>/d，近期实施一期工程建设规模为5万m</w:t>
      </w:r>
      <w:r>
        <w:rPr>
          <w:rFonts w:eastAsia="幼圆" w:cs="Calibri"/>
          <w:color w:val="333333"/>
          <w:kern w:val="0"/>
          <w:sz w:val="30"/>
          <w:szCs w:val="30"/>
        </w:rPr>
        <w:t>³</w:t>
      </w:r>
      <w:r>
        <w:rPr>
          <w:rFonts w:hint="eastAsia" w:ascii="幼圆" w:hAnsi="仿宋" w:eastAsia="幼圆" w:cs="Times New Roman"/>
          <w:color w:val="333333"/>
          <w:kern w:val="0"/>
          <w:sz w:val="30"/>
          <w:szCs w:val="30"/>
        </w:rPr>
        <w:t>/d；新建六景工业园区南部水质净化厂，总设计规模6万m</w:t>
      </w:r>
      <w:r>
        <w:rPr>
          <w:rFonts w:eastAsia="幼圆" w:cs="Calibri"/>
          <w:color w:val="333333"/>
          <w:kern w:val="0"/>
          <w:sz w:val="30"/>
          <w:szCs w:val="30"/>
        </w:rPr>
        <w:t>³</w:t>
      </w:r>
      <w:r>
        <w:rPr>
          <w:rFonts w:hint="eastAsia" w:ascii="幼圆" w:hAnsi="仿宋" w:eastAsia="幼圆" w:cs="Times New Roman"/>
          <w:color w:val="333333"/>
          <w:kern w:val="0"/>
          <w:sz w:val="30"/>
          <w:szCs w:val="30"/>
        </w:rPr>
        <w:t>/d，近期实施一期工程建设规模为3万m</w:t>
      </w:r>
      <w:r>
        <w:rPr>
          <w:rFonts w:eastAsia="幼圆" w:cs="Calibri"/>
          <w:color w:val="333333"/>
          <w:kern w:val="0"/>
          <w:sz w:val="30"/>
          <w:szCs w:val="30"/>
        </w:rPr>
        <w:t>³</w:t>
      </w:r>
      <w:r>
        <w:rPr>
          <w:rFonts w:hint="eastAsia" w:ascii="幼圆" w:hAnsi="仿宋" w:eastAsia="幼圆" w:cs="Times New Roman"/>
          <w:color w:val="333333"/>
          <w:kern w:val="0"/>
          <w:sz w:val="30"/>
          <w:szCs w:val="30"/>
        </w:rPr>
        <w:t>/d，设备安装规模为1.5万m</w:t>
      </w:r>
      <w:r>
        <w:rPr>
          <w:rFonts w:eastAsia="幼圆" w:cs="Calibri"/>
          <w:color w:val="333333"/>
          <w:kern w:val="0"/>
          <w:sz w:val="30"/>
          <w:szCs w:val="30"/>
        </w:rPr>
        <w:t>³</w:t>
      </w:r>
      <w:r>
        <w:rPr>
          <w:rFonts w:hint="eastAsia" w:ascii="幼圆" w:hAnsi="仿宋" w:eastAsia="幼圆" w:cs="Times New Roman"/>
          <w:color w:val="333333"/>
          <w:kern w:val="0"/>
          <w:sz w:val="30"/>
          <w:szCs w:val="30"/>
        </w:rPr>
        <w:t>/d。</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left"/>
        <w:textAlignment w:val="auto"/>
        <w:rPr>
          <w:rFonts w:ascii="幼圆" w:hAnsi="仿宋" w:eastAsia="幼圆" w:cs="Times New Roman"/>
          <w:color w:val="333333"/>
          <w:kern w:val="0"/>
          <w:sz w:val="30"/>
          <w:szCs w:val="30"/>
        </w:rPr>
      </w:pPr>
      <w:r>
        <w:rPr>
          <w:rFonts w:hint="eastAsia" w:ascii="幼圆" w:hAnsi="仿宋" w:eastAsia="幼圆" w:cs="Times New Roman"/>
          <w:color w:val="333333"/>
          <w:kern w:val="0"/>
          <w:sz w:val="30"/>
          <w:szCs w:val="30"/>
        </w:rPr>
        <w:t>本项目由横州市住房和城乡建设局担任实施机构，具体负责特许经营方案编制与社会资本采购工作，依法依规执行115号文通知内容与17号令相关规定，由项目公司具体负责本项目的投融资、建设及运营维护，至特许经营期满。项目回报机制为按效付费，由横州市住房和城乡建设局根据绩效考核结果支付项目回报。</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2" w:firstLineChars="200"/>
        <w:jc w:val="left"/>
        <w:textAlignment w:val="auto"/>
        <w:outlineLvl w:val="0"/>
        <w:rPr>
          <w:rFonts w:ascii="幼圆" w:hAnsi="仿宋" w:eastAsia="幼圆" w:cs="Times New Roman"/>
          <w:b/>
          <w:bCs/>
          <w:color w:val="333333"/>
          <w:kern w:val="0"/>
          <w:sz w:val="30"/>
          <w:szCs w:val="30"/>
        </w:rPr>
      </w:pPr>
      <w:r>
        <w:rPr>
          <w:rFonts w:hint="eastAsia" w:ascii="幼圆" w:hAnsi="仿宋" w:eastAsia="幼圆" w:cs="Times New Roman"/>
          <w:b/>
          <w:bCs/>
          <w:color w:val="333333"/>
          <w:kern w:val="0"/>
          <w:sz w:val="30"/>
          <w:szCs w:val="30"/>
        </w:rPr>
        <w:t>二、意见征询</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left"/>
        <w:textAlignment w:val="auto"/>
        <w:rPr>
          <w:rFonts w:hint="eastAsia" w:ascii="幼圆" w:hAnsi="仿宋" w:eastAsia="幼圆" w:cs="Times New Roman"/>
          <w:color w:val="333333"/>
          <w:kern w:val="0"/>
          <w:sz w:val="30"/>
          <w:szCs w:val="30"/>
        </w:rPr>
      </w:pPr>
      <w:r>
        <w:rPr>
          <w:rFonts w:hint="eastAsia" w:ascii="幼圆" w:hAnsi="仿宋" w:eastAsia="幼圆" w:cs="Times New Roman"/>
          <w:color w:val="333333"/>
          <w:kern w:val="0"/>
          <w:sz w:val="30"/>
          <w:szCs w:val="30"/>
        </w:rPr>
        <w:t>请按后附《意见征询表</w:t>
      </w:r>
      <w:r>
        <w:rPr>
          <w:rFonts w:hint="eastAsia" w:ascii="幼圆" w:hAnsi="仿宋" w:eastAsia="幼圆" w:cs="Times New Roman"/>
          <w:color w:val="333333"/>
          <w:kern w:val="0"/>
          <w:sz w:val="30"/>
          <w:szCs w:val="30"/>
        </w:rPr>
        <w:t>》的格式和时间要求及时反馈书面意见</w:t>
      </w:r>
      <w:r>
        <w:rPr>
          <w:rFonts w:hint="eastAsia" w:ascii="幼圆" w:hAnsi="仿宋" w:eastAsia="幼圆" w:cs="Times New Roman"/>
          <w:color w:val="333333"/>
          <w:kern w:val="0"/>
          <w:sz w:val="30"/>
          <w:szCs w:val="30"/>
          <w:lang w:eastAsia="zh-CN"/>
        </w:rPr>
        <w:t>。</w:t>
      </w:r>
      <w:r>
        <w:rPr>
          <w:rFonts w:hint="eastAsia" w:ascii="幼圆" w:hAnsi="仿宋" w:eastAsia="幼圆" w:cs="Times New Roman"/>
          <w:color w:val="333333"/>
          <w:kern w:val="0"/>
          <w:sz w:val="30"/>
          <w:szCs w:val="30"/>
          <w:lang w:val="en-US" w:eastAsia="zh-CN"/>
        </w:rPr>
        <w:t>加盖单位公章后以扫描件形式，于2024年5月19日前以电子邮件形式发送至我公司电子邮箱（gxjl666@126.com）。逾期送达（以电子邮箱收件时间为准）、匿名反馈以及其他不符合本文要求的</w:t>
      </w:r>
      <w:r>
        <w:rPr>
          <w:rFonts w:hint="eastAsia" w:ascii="幼圆" w:hAnsi="仿宋" w:eastAsia="幼圆" w:cs="Times New Roman"/>
          <w:color w:val="333333"/>
          <w:kern w:val="0"/>
          <w:sz w:val="30"/>
          <w:szCs w:val="30"/>
        </w:rPr>
        <w:t>反馈意见</w:t>
      </w:r>
      <w:r>
        <w:rPr>
          <w:rFonts w:hint="eastAsia" w:ascii="幼圆" w:hAnsi="仿宋" w:eastAsia="幼圆" w:cs="Times New Roman"/>
          <w:color w:val="333333"/>
          <w:kern w:val="0"/>
          <w:sz w:val="30"/>
          <w:szCs w:val="30"/>
          <w:lang w:eastAsia="zh-CN"/>
        </w:rPr>
        <w:t>，</w:t>
      </w:r>
      <w:r>
        <w:rPr>
          <w:rFonts w:hint="eastAsia" w:ascii="幼圆" w:hAnsi="仿宋" w:eastAsia="幼圆" w:cs="Times New Roman"/>
          <w:color w:val="333333"/>
          <w:kern w:val="0"/>
          <w:sz w:val="30"/>
          <w:szCs w:val="30"/>
          <w:lang w:val="en-US" w:eastAsia="zh-CN"/>
        </w:rPr>
        <w:t>我公司有权不予受理</w:t>
      </w:r>
      <w:r>
        <w:rPr>
          <w:rFonts w:hint="eastAsia" w:ascii="幼圆" w:hAnsi="仿宋" w:eastAsia="幼圆" w:cs="Times New Roman"/>
          <w:color w:val="333333"/>
          <w:kern w:val="0"/>
          <w:sz w:val="30"/>
          <w:szCs w:val="30"/>
        </w:rPr>
        <w:t>。</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left"/>
        <w:textAlignment w:val="auto"/>
        <w:rPr>
          <w:rFonts w:hint="eastAsia" w:ascii="幼圆" w:hAnsi="仿宋" w:eastAsia="幼圆" w:cs="Times New Roman"/>
          <w:color w:val="333333"/>
          <w:kern w:val="0"/>
          <w:sz w:val="30"/>
          <w:szCs w:val="30"/>
        </w:rPr>
      </w:pPr>
      <w:r>
        <w:rPr>
          <w:rFonts w:hint="eastAsia" w:ascii="幼圆" w:hAnsi="仿宋" w:eastAsia="幼圆" w:cs="Times New Roman"/>
          <w:color w:val="333333"/>
          <w:kern w:val="0"/>
          <w:sz w:val="30"/>
          <w:szCs w:val="30"/>
          <w:lang w:val="en-US" w:eastAsia="zh-CN"/>
        </w:rPr>
        <w:t>四、联系方式</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left"/>
        <w:textAlignment w:val="auto"/>
        <w:rPr>
          <w:rFonts w:hint="eastAsia" w:ascii="幼圆" w:hAnsi="仿宋" w:eastAsia="幼圆" w:cs="Times New Roman"/>
          <w:color w:val="333333"/>
          <w:kern w:val="0"/>
          <w:sz w:val="30"/>
          <w:szCs w:val="30"/>
        </w:rPr>
      </w:pPr>
      <w:r>
        <w:rPr>
          <w:rFonts w:hint="eastAsia" w:ascii="幼圆" w:hAnsi="仿宋" w:eastAsia="幼圆" w:cs="Times New Roman"/>
          <w:color w:val="333333"/>
          <w:kern w:val="0"/>
          <w:sz w:val="30"/>
          <w:szCs w:val="30"/>
        </w:rPr>
        <w:t>联系人：黄</w:t>
      </w:r>
      <w:r>
        <w:rPr>
          <w:rFonts w:hint="eastAsia" w:ascii="幼圆" w:hAnsi="仿宋" w:eastAsia="幼圆" w:cs="Times New Roman"/>
          <w:color w:val="333333"/>
          <w:kern w:val="0"/>
          <w:sz w:val="30"/>
          <w:szCs w:val="30"/>
          <w:lang w:val="en-US" w:eastAsia="zh-CN"/>
        </w:rPr>
        <w:t>工</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left"/>
        <w:textAlignment w:val="auto"/>
        <w:rPr>
          <w:rFonts w:hint="eastAsia" w:ascii="幼圆" w:hAnsi="仿宋" w:eastAsia="幼圆" w:cs="Times New Roman"/>
          <w:color w:val="333333"/>
          <w:kern w:val="0"/>
          <w:sz w:val="30"/>
          <w:szCs w:val="30"/>
        </w:rPr>
      </w:pPr>
      <w:r>
        <w:rPr>
          <w:rFonts w:hint="eastAsia" w:ascii="幼圆" w:hAnsi="仿宋" w:eastAsia="幼圆" w:cs="Times New Roman"/>
          <w:color w:val="333333"/>
          <w:kern w:val="0"/>
          <w:sz w:val="30"/>
          <w:szCs w:val="30"/>
        </w:rPr>
        <w:t xml:space="preserve">联系电话：0771-5345232 </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left"/>
        <w:textAlignment w:val="auto"/>
        <w:rPr>
          <w:rFonts w:hint="eastAsia" w:ascii="幼圆" w:hAnsi="仿宋" w:eastAsia="幼圆" w:cs="Times New Roman"/>
          <w:color w:val="333333"/>
          <w:kern w:val="0"/>
          <w:sz w:val="30"/>
          <w:szCs w:val="30"/>
        </w:rPr>
      </w:pPr>
      <w:r>
        <w:rPr>
          <w:rFonts w:hint="eastAsia" w:ascii="幼圆" w:hAnsi="仿宋" w:eastAsia="幼圆" w:cs="Times New Roman"/>
          <w:color w:val="333333"/>
          <w:kern w:val="0"/>
          <w:sz w:val="30"/>
          <w:szCs w:val="30"/>
        </w:rPr>
        <w:t>联系邮箱：</w:t>
      </w:r>
      <w:r>
        <w:rPr>
          <w:rFonts w:hint="eastAsia" w:ascii="幼圆" w:hAnsi="仿宋" w:eastAsia="幼圆" w:cs="Times New Roman"/>
          <w:color w:val="333333"/>
          <w:kern w:val="0"/>
          <w:sz w:val="30"/>
          <w:szCs w:val="30"/>
        </w:rPr>
        <w:fldChar w:fldCharType="begin"/>
      </w:r>
      <w:r>
        <w:rPr>
          <w:rFonts w:hint="eastAsia" w:ascii="幼圆" w:hAnsi="仿宋" w:eastAsia="幼圆" w:cs="Times New Roman"/>
          <w:color w:val="333333"/>
          <w:kern w:val="0"/>
          <w:sz w:val="30"/>
          <w:szCs w:val="30"/>
        </w:rPr>
        <w:instrText xml:space="preserve"> HYPERLINK "mailto:gxjl666@126.com广西建隆工程咨询有限公司" </w:instrText>
      </w:r>
      <w:r>
        <w:rPr>
          <w:rFonts w:hint="eastAsia" w:ascii="幼圆" w:hAnsi="仿宋" w:eastAsia="幼圆" w:cs="Times New Roman"/>
          <w:color w:val="333333"/>
          <w:kern w:val="0"/>
          <w:sz w:val="30"/>
          <w:szCs w:val="30"/>
        </w:rPr>
        <w:fldChar w:fldCharType="separate"/>
      </w:r>
      <w:r>
        <w:rPr>
          <w:rFonts w:hint="eastAsia" w:ascii="幼圆" w:hAnsi="仿宋" w:eastAsia="幼圆" w:cs="Times New Roman"/>
          <w:color w:val="333333"/>
          <w:kern w:val="0"/>
          <w:sz w:val="30"/>
          <w:szCs w:val="30"/>
        </w:rPr>
        <w:t>gxjl66</w:t>
      </w:r>
      <w:bookmarkStart w:id="0" w:name="_GoBack"/>
      <w:bookmarkEnd w:id="0"/>
      <w:r>
        <w:rPr>
          <w:rFonts w:hint="eastAsia" w:ascii="幼圆" w:hAnsi="仿宋" w:eastAsia="幼圆" w:cs="Times New Roman"/>
          <w:color w:val="333333"/>
          <w:kern w:val="0"/>
          <w:sz w:val="30"/>
          <w:szCs w:val="30"/>
        </w:rPr>
        <w:t>6@126.com</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left"/>
        <w:textAlignment w:val="auto"/>
        <w:rPr>
          <w:rFonts w:hint="eastAsia" w:ascii="幼圆" w:hAnsi="仿宋" w:eastAsia="幼圆" w:cs="Times New Roman"/>
          <w:color w:val="333333"/>
          <w:kern w:val="0"/>
          <w:sz w:val="30"/>
          <w:szCs w:val="30"/>
        </w:rPr>
      </w:pP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right"/>
        <w:textAlignment w:val="auto"/>
        <w:rPr>
          <w:rFonts w:hint="eastAsia" w:ascii="幼圆" w:hAnsi="仿宋" w:eastAsia="幼圆" w:cs="Times New Roman"/>
          <w:color w:val="333333"/>
          <w:kern w:val="0"/>
          <w:sz w:val="30"/>
          <w:szCs w:val="30"/>
        </w:rPr>
      </w:pPr>
      <w:r>
        <w:rPr>
          <w:rFonts w:hint="eastAsia" w:ascii="幼圆" w:hAnsi="仿宋" w:eastAsia="幼圆" w:cs="Times New Roman"/>
          <w:color w:val="333333"/>
          <w:kern w:val="0"/>
          <w:sz w:val="30"/>
          <w:szCs w:val="30"/>
          <w:lang w:val="en-US" w:eastAsia="zh-CN"/>
        </w:rPr>
        <w:t>2024年5月14日</w:t>
      </w:r>
    </w:p>
    <w:p>
      <w:pPr>
        <w:keepNext w:val="0"/>
        <w:keepLines w:val="0"/>
        <w:pageBreakBefore w:val="0"/>
        <w:widowControl/>
        <w:kinsoku/>
        <w:wordWrap w:val="0"/>
        <w:overflowPunct/>
        <w:topLinePunct w:val="0"/>
        <w:autoSpaceDE/>
        <w:autoSpaceDN/>
        <w:bidi w:val="0"/>
        <w:adjustRightInd/>
        <w:snapToGrid/>
        <w:spacing w:beforeAutospacing="0" w:afterAutospacing="0" w:line="360" w:lineRule="auto"/>
        <w:ind w:firstLine="600" w:firstLineChars="200"/>
        <w:jc w:val="left"/>
        <w:textAlignment w:val="auto"/>
        <w:rPr>
          <w:rFonts w:ascii="幼圆" w:hAnsi="Times New Roman" w:eastAsia="幼圆" w:cs="Times New Roman"/>
          <w:b/>
          <w:bCs/>
          <w:color w:val="333333"/>
          <w:kern w:val="0"/>
          <w:sz w:val="28"/>
          <w:szCs w:val="28"/>
        </w:rPr>
        <w:sectPr>
          <w:footerReference r:id="rId3" w:type="default"/>
          <w:pgSz w:w="11906" w:h="16838"/>
          <w:pgMar w:top="1440" w:right="1800" w:bottom="1440" w:left="1800" w:header="851" w:footer="992" w:gutter="0"/>
          <w:cols w:space="425" w:num="1"/>
          <w:docGrid w:type="lines" w:linePitch="312" w:charSpace="0"/>
        </w:sectPr>
      </w:pPr>
      <w:r>
        <w:rPr>
          <w:rFonts w:hint="eastAsia" w:ascii="幼圆" w:hAnsi="仿宋" w:eastAsia="幼圆" w:cs="Times New Roman"/>
          <w:color w:val="333333"/>
          <w:kern w:val="0"/>
          <w:sz w:val="30"/>
          <w:szCs w:val="30"/>
        </w:rPr>
        <w:fldChar w:fldCharType="end"/>
      </w:r>
    </w:p>
    <w:p>
      <w:pPr>
        <w:pStyle w:val="2"/>
        <w:spacing w:before="156" w:beforeLines="50" w:after="156" w:afterLines="50"/>
        <w:jc w:val="left"/>
        <w:rPr>
          <w:rFonts w:ascii="幼圆" w:hAnsi="微软雅黑" w:eastAsia="幼圆" w:cs="Times New Roman"/>
          <w:bCs w:val="0"/>
          <w:color w:val="333333"/>
          <w:kern w:val="0"/>
          <w:sz w:val="36"/>
          <w:szCs w:val="36"/>
        </w:rPr>
      </w:pPr>
      <w:r>
        <w:rPr>
          <w:rFonts w:hint="eastAsia" w:ascii="幼圆" w:hAnsi="微软雅黑" w:eastAsia="幼圆" w:cs="Times New Roman"/>
          <w:bCs w:val="0"/>
          <w:color w:val="333333"/>
          <w:kern w:val="0"/>
          <w:sz w:val="36"/>
          <w:szCs w:val="36"/>
        </w:rPr>
        <w:t>附：意见征询表</w:t>
      </w:r>
    </w:p>
    <w:tbl>
      <w:tblPr>
        <w:tblStyle w:val="11"/>
        <w:tblW w:w="8923"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741"/>
        <w:gridCol w:w="2732"/>
        <w:gridCol w:w="545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4" w:hRule="atLeast"/>
          <w:tblHeader/>
          <w:jc w:val="center"/>
        </w:trPr>
        <w:tc>
          <w:tcPr>
            <w:tcW w:w="741" w:type="dxa"/>
            <w:shd w:val="clear" w:color="auto" w:fill="D9D9D9"/>
            <w:vAlign w:val="center"/>
          </w:tcPr>
          <w:p>
            <w:pPr>
              <w:pStyle w:val="22"/>
              <w:spacing w:before="156" w:beforeLines="50" w:after="156" w:afterLines="50"/>
              <w:jc w:val="center"/>
              <w:rPr>
                <w:rFonts w:ascii="幼圆" w:hAnsi="仿宋" w:eastAsia="幼圆" w:cs="Times New Roman"/>
              </w:rPr>
            </w:pPr>
            <w:r>
              <w:rPr>
                <w:rFonts w:hint="eastAsia" w:ascii="幼圆" w:hAnsi="仿宋" w:eastAsia="幼圆" w:cs="Times New Roman"/>
              </w:rPr>
              <w:t>序号</w:t>
            </w:r>
          </w:p>
        </w:tc>
        <w:tc>
          <w:tcPr>
            <w:tcW w:w="2732" w:type="dxa"/>
            <w:shd w:val="clear" w:color="auto" w:fill="D9D9D9"/>
            <w:vAlign w:val="center"/>
          </w:tcPr>
          <w:p>
            <w:pPr>
              <w:pStyle w:val="22"/>
              <w:spacing w:before="156" w:beforeLines="50" w:after="156" w:afterLines="50"/>
              <w:jc w:val="center"/>
              <w:rPr>
                <w:rFonts w:ascii="幼圆" w:hAnsi="仿宋" w:eastAsia="幼圆" w:cs="Times New Roman"/>
              </w:rPr>
            </w:pPr>
            <w:r>
              <w:rPr>
                <w:rFonts w:hint="eastAsia" w:ascii="幼圆" w:hAnsi="仿宋" w:eastAsia="幼圆" w:cs="Times New Roman"/>
              </w:rPr>
              <w:t>征询项目</w:t>
            </w:r>
          </w:p>
        </w:tc>
        <w:tc>
          <w:tcPr>
            <w:tcW w:w="5450" w:type="dxa"/>
            <w:shd w:val="clear" w:color="auto" w:fill="D9D9D9"/>
            <w:vAlign w:val="center"/>
          </w:tcPr>
          <w:p>
            <w:pPr>
              <w:pStyle w:val="22"/>
              <w:spacing w:before="156" w:beforeLines="50" w:after="156" w:afterLines="50"/>
              <w:jc w:val="center"/>
              <w:rPr>
                <w:rFonts w:ascii="幼圆" w:hAnsi="仿宋" w:eastAsia="幼圆" w:cs="Times New Roman"/>
              </w:rPr>
            </w:pPr>
            <w:r>
              <w:rPr>
                <w:rFonts w:hint="eastAsia" w:ascii="幼圆" w:hAnsi="仿宋" w:eastAsia="幼圆" w:cs="Times New Roman"/>
              </w:rPr>
              <w:t>反馈意见（是否响应及/或其他建议）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59" w:hRule="atLeast"/>
          <w:jc w:val="center"/>
        </w:trPr>
        <w:tc>
          <w:tcPr>
            <w:tcW w:w="8923" w:type="dxa"/>
            <w:gridSpan w:val="3"/>
            <w:vAlign w:val="center"/>
          </w:tcPr>
          <w:p>
            <w:pPr>
              <w:pStyle w:val="9"/>
              <w:spacing w:before="156" w:beforeLines="50" w:after="156" w:afterLines="50"/>
              <w:rPr>
                <w:rFonts w:ascii="幼圆" w:hAnsi="仿宋" w:eastAsia="幼圆" w:cs="Times New Roman"/>
              </w:rPr>
            </w:pPr>
            <w:r>
              <w:rPr>
                <w:rFonts w:hint="eastAsia" w:ascii="幼圆" w:hAnsi="仿宋" w:eastAsia="幼圆" w:cs="Times New Roman"/>
              </w:rPr>
              <w:t>一、项目主要边界条件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57"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1</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项目投融资比例：资本金比例20%，项目公司应保障项目资本金及时到位。</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24"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2</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特许经营期：30年，包括建设期和运营期。其中，建设期自协议签订之日起至环保验收之日止，原则上不得超过24个月。</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252"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3</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回报机制：污水处理服务费，结合绩效考核结果按月支付。</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405"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4</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调价机制：(1)定期调价 每三年调整一次污水处理服务费，按CPI变化情况调整。(2)临时调价 运营期内累计综合运营成本变化幅度超过合理范围时，可申请临时调价。</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097"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5</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前期费用：项目前期工作费用在可行性研究报告估算范围内据实计入项目费用及项目总投资。相关费用若已支付，则根据政府方提供清单及签订的协议由项目公司在规定时间内支付，相关合同由项目公司承继。</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469"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6</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履约保函及金额：建设履约保函（200万）；运营维护保函（100万）；移交保函（100万）</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440"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7</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风险分配：投融资、建设、财务、运营维护、移交等商业风险主要由社会资本承担；横州市地方规定变更风险主要由横州市政府承担。</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09"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8</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绩效考核：绩效考核分为建设期考核与运营期考核，建设期绩效考核达到60分（含）以上，运营期绩效考核结果与污水处理服务费支付相挂钩，具体办法参照南宁市行业规定及本项目实际情况制定。</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27"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9</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采购方式：竞争性磋商</w:t>
            </w:r>
          </w:p>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采购评审：综合评分法</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22"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10</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竞价方式：采用测算的全投资内部收益率（税后）进行报价。（注：仅为报价竞争所用，不视为任何形式的保底、兜底承诺，盈亏风险社会资本自担）</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22"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11</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主要合同体系：</w:t>
            </w:r>
          </w:p>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1、实施机构与社会资本签订特许经营协议（或框架协议）；</w:t>
            </w:r>
          </w:p>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2、项目公司与实施机构、社会资本签订权利义务承继协议或特许经营协议。</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75"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12</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全投资内部收益率（预期收益水平）</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057" w:hRule="atLeast"/>
          <w:jc w:val="center"/>
        </w:trPr>
        <w:tc>
          <w:tcPr>
            <w:tcW w:w="8923" w:type="dxa"/>
            <w:gridSpan w:val="3"/>
            <w:vAlign w:val="center"/>
          </w:tcPr>
          <w:p>
            <w:pPr>
              <w:pStyle w:val="9"/>
              <w:spacing w:before="156" w:beforeLines="50" w:after="156" w:afterLines="50"/>
              <w:rPr>
                <w:rFonts w:ascii="幼圆" w:hAnsi="仿宋" w:eastAsia="幼圆" w:cs="Times New Roman"/>
              </w:rPr>
            </w:pPr>
            <w:r>
              <w:rPr>
                <w:rFonts w:hint="eastAsia" w:ascii="幼圆" w:hAnsi="仿宋" w:eastAsia="幼圆" w:cs="Times New Roman"/>
              </w:rPr>
              <w:t>二、社会资本基本情况及参与意向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16"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1</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公司名称</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16"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2</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企业性质（以营业执照登记为准）</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16"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3</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主营业务基本情况</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16"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4</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广西壮族自治区内公司机构及业务基本情况</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16"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5</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参与本项目的意向</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16"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6</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预计参与本项目形式（独立或联合体）</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260"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7</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可能影响参与意愿的因素（如无则不填写）</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264"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8</w:t>
            </w:r>
          </w:p>
        </w:tc>
        <w:tc>
          <w:tcPr>
            <w:tcW w:w="2732" w:type="dxa"/>
            <w:vAlign w:val="center"/>
          </w:tcPr>
          <w:p>
            <w:pPr>
              <w:spacing w:before="156" w:beforeLines="50" w:after="156" w:afterLines="50"/>
              <w:jc w:val="left"/>
              <w:rPr>
                <w:rFonts w:ascii="幼圆" w:hAnsi="仿宋" w:eastAsia="幼圆" w:cs="Times New Roman"/>
                <w:szCs w:val="21"/>
              </w:rPr>
            </w:pPr>
            <w:r>
              <w:rPr>
                <w:rFonts w:hint="eastAsia" w:ascii="幼圆" w:hAnsi="仿宋" w:eastAsia="幼圆" w:cs="Times New Roman"/>
                <w:szCs w:val="21"/>
              </w:rPr>
              <w:t>可能限制贵方参与的条件（如无则不填写）</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81"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9</w:t>
            </w:r>
          </w:p>
        </w:tc>
        <w:tc>
          <w:tcPr>
            <w:tcW w:w="2732" w:type="dxa"/>
            <w:vAlign w:val="center"/>
          </w:tcPr>
          <w:p>
            <w:pPr>
              <w:spacing w:before="156" w:beforeLines="50" w:after="156" w:afterLines="50"/>
              <w:jc w:val="left"/>
              <w:rPr>
                <w:rFonts w:ascii="幼圆" w:hAnsi="仿宋" w:eastAsia="幼圆" w:cs="Times New Roman"/>
                <w:bCs/>
                <w:szCs w:val="21"/>
              </w:rPr>
            </w:pPr>
            <w:r>
              <w:rPr>
                <w:rFonts w:hint="eastAsia" w:ascii="幼圆" w:hAnsi="仿宋" w:eastAsia="幼圆" w:cs="Times New Roman"/>
                <w:bCs/>
                <w:szCs w:val="21"/>
              </w:rPr>
              <w:t>其他意见建议（可自行添加）</w:t>
            </w:r>
          </w:p>
        </w:tc>
        <w:tc>
          <w:tcPr>
            <w:tcW w:w="5450" w:type="dxa"/>
            <w:vAlign w:val="center"/>
          </w:tcPr>
          <w:p>
            <w:pPr>
              <w:pStyle w:val="22"/>
              <w:spacing w:before="156" w:beforeLines="50" w:after="156" w:afterLines="50"/>
              <w:jc w:val="center"/>
              <w:rPr>
                <w:rFonts w:ascii="幼圆" w:hAnsi="仿宋" w:eastAsia="幼圆" w:cs="Times New Roma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81" w:hRule="atLeast"/>
          <w:jc w:val="center"/>
        </w:trPr>
        <w:tc>
          <w:tcPr>
            <w:tcW w:w="741" w:type="dxa"/>
            <w:vAlign w:val="center"/>
          </w:tcPr>
          <w:p>
            <w:pPr>
              <w:spacing w:before="156" w:beforeLines="50" w:after="156" w:afterLines="50"/>
              <w:jc w:val="center"/>
              <w:rPr>
                <w:rFonts w:ascii="幼圆" w:hAnsi="仿宋" w:eastAsia="幼圆" w:cs="Times New Roman"/>
                <w:szCs w:val="21"/>
              </w:rPr>
            </w:pPr>
            <w:r>
              <w:rPr>
                <w:rFonts w:hint="eastAsia" w:ascii="幼圆" w:hAnsi="仿宋" w:eastAsia="幼圆" w:cs="Times New Roman"/>
                <w:szCs w:val="21"/>
              </w:rPr>
              <w:t>10</w:t>
            </w:r>
          </w:p>
        </w:tc>
        <w:tc>
          <w:tcPr>
            <w:tcW w:w="2732" w:type="dxa"/>
            <w:vAlign w:val="center"/>
          </w:tcPr>
          <w:p>
            <w:pPr>
              <w:spacing w:before="156" w:beforeLines="50" w:after="156" w:afterLines="50"/>
              <w:jc w:val="left"/>
              <w:rPr>
                <w:rFonts w:ascii="幼圆" w:hAnsi="仿宋" w:eastAsia="幼圆" w:cs="Times New Roman"/>
                <w:bCs/>
                <w:szCs w:val="21"/>
              </w:rPr>
            </w:pPr>
            <w:r>
              <w:rPr>
                <w:rFonts w:hint="eastAsia" w:ascii="幼圆" w:hAnsi="仿宋" w:eastAsia="幼圆" w:cs="Times New Roman"/>
                <w:bCs/>
                <w:szCs w:val="21"/>
              </w:rPr>
              <w:t>联系人及联系方式</w:t>
            </w:r>
          </w:p>
        </w:tc>
        <w:tc>
          <w:tcPr>
            <w:tcW w:w="5450" w:type="dxa"/>
            <w:vAlign w:val="center"/>
          </w:tcPr>
          <w:p>
            <w:pPr>
              <w:pStyle w:val="22"/>
              <w:spacing w:before="156" w:beforeLines="50" w:after="156" w:afterLines="50"/>
              <w:jc w:val="center"/>
              <w:rPr>
                <w:rFonts w:ascii="幼圆" w:hAnsi="仿宋" w:eastAsia="幼圆" w:cs="Times New Roman"/>
              </w:rPr>
            </w:pPr>
          </w:p>
        </w:tc>
      </w:tr>
    </w:tbl>
    <w:p>
      <w:pPr>
        <w:pStyle w:val="22"/>
        <w:spacing w:before="156" w:beforeLines="50" w:after="156" w:afterLines="50" w:line="391" w:lineRule="atLeast"/>
        <w:jc w:val="both"/>
        <w:rPr>
          <w:rFonts w:ascii="幼圆" w:hAnsi="仿宋" w:eastAsia="幼圆" w:cs="Times New Roman"/>
          <w:color w:val="auto"/>
          <w:sz w:val="23"/>
          <w:szCs w:val="23"/>
        </w:rPr>
      </w:pPr>
      <w:r>
        <w:rPr>
          <w:rFonts w:hint="eastAsia" w:ascii="幼圆" w:hAnsi="仿宋" w:eastAsia="幼圆" w:cs="Times New Roman"/>
          <w:color w:val="auto"/>
          <w:sz w:val="23"/>
          <w:szCs w:val="23"/>
        </w:rPr>
        <w:t>注：</w:t>
      </w:r>
    </w:p>
    <w:p>
      <w:pPr>
        <w:pStyle w:val="22"/>
        <w:spacing w:before="156" w:beforeLines="50" w:after="156" w:afterLines="50" w:line="391" w:lineRule="atLeast"/>
        <w:jc w:val="both"/>
        <w:rPr>
          <w:rFonts w:ascii="幼圆" w:hAnsi="仿宋" w:eastAsia="幼圆" w:cs="Times New Roman"/>
          <w:color w:val="auto"/>
          <w:sz w:val="23"/>
          <w:szCs w:val="23"/>
        </w:rPr>
      </w:pPr>
      <w:r>
        <w:rPr>
          <w:rFonts w:hint="eastAsia" w:ascii="幼圆" w:hAnsi="仿宋" w:eastAsia="幼圆" w:cs="Times New Roman"/>
          <w:color w:val="auto"/>
          <w:sz w:val="23"/>
          <w:szCs w:val="23"/>
        </w:rPr>
        <w:t>1、本项目最终边界条件，以最终招标文件为准；</w:t>
      </w:r>
    </w:p>
    <w:p>
      <w:pPr>
        <w:pStyle w:val="22"/>
        <w:spacing w:before="156" w:beforeLines="50" w:after="156" w:afterLines="50" w:line="391" w:lineRule="atLeast"/>
        <w:jc w:val="both"/>
        <w:rPr>
          <w:rFonts w:ascii="幼圆" w:hAnsi="仿宋" w:eastAsia="幼圆" w:cs="Times New Roman"/>
          <w:sz w:val="23"/>
          <w:szCs w:val="23"/>
        </w:rPr>
      </w:pPr>
      <w:r>
        <w:rPr>
          <w:rFonts w:hint="eastAsia" w:ascii="幼圆" w:hAnsi="仿宋" w:eastAsia="幼圆" w:cs="Times New Roman"/>
          <w:color w:val="auto"/>
          <w:sz w:val="23"/>
          <w:szCs w:val="23"/>
        </w:rPr>
        <w:t>2、请</w:t>
      </w:r>
      <w:r>
        <w:rPr>
          <w:rFonts w:hint="eastAsia" w:ascii="幼圆" w:hAnsi="仿宋" w:eastAsia="幼圆" w:cs="Times New Roman"/>
          <w:color w:val="000000" w:themeColor="text1"/>
          <w:sz w:val="23"/>
          <w:szCs w:val="23"/>
          <w14:textFill>
            <w14:solidFill>
              <w14:schemeClr w14:val="tx1"/>
            </w14:solidFill>
          </w14:textFill>
        </w:rPr>
        <w:t>于</w:t>
      </w:r>
      <w:r>
        <w:rPr>
          <w:rFonts w:hint="eastAsia" w:ascii="幼圆" w:hAnsi="仿宋" w:eastAsia="幼圆" w:cs="Times New Roman"/>
          <w:b/>
          <w:bCs/>
          <w:color w:val="000000" w:themeColor="text1"/>
          <w:sz w:val="23"/>
          <w:szCs w:val="23"/>
          <w:lang w:eastAsia="zh-CN"/>
          <w14:textFill>
            <w14:solidFill>
              <w14:schemeClr w14:val="tx1"/>
            </w14:solidFill>
          </w14:textFill>
        </w:rPr>
        <w:t>2024年5月19日</w:t>
      </w:r>
      <w:r>
        <w:rPr>
          <w:rFonts w:hint="eastAsia" w:ascii="幼圆" w:hAnsi="仿宋" w:eastAsia="幼圆" w:cs="Times New Roman"/>
          <w:color w:val="000000" w:themeColor="text1"/>
          <w:sz w:val="23"/>
          <w:szCs w:val="23"/>
          <w14:textFill>
            <w14:solidFill>
              <w14:schemeClr w14:val="tx1"/>
            </w14:solidFill>
          </w14:textFill>
        </w:rPr>
        <w:t>之前</w:t>
      </w:r>
      <w:r>
        <w:rPr>
          <w:rFonts w:hint="eastAsia" w:ascii="幼圆" w:hAnsi="仿宋" w:eastAsia="幼圆" w:cs="Times New Roman"/>
          <w:sz w:val="23"/>
          <w:szCs w:val="23"/>
        </w:rPr>
        <w:t>反馈本表；</w:t>
      </w:r>
    </w:p>
    <w:p>
      <w:pPr>
        <w:pStyle w:val="22"/>
        <w:spacing w:before="156" w:beforeLines="50" w:after="156" w:afterLines="50" w:line="391" w:lineRule="atLeast"/>
        <w:jc w:val="both"/>
        <w:rPr>
          <w:rFonts w:ascii="幼圆" w:hAnsi="仿宋" w:eastAsia="幼圆" w:cs="Times New Roman"/>
          <w:sz w:val="23"/>
          <w:szCs w:val="23"/>
        </w:rPr>
      </w:pPr>
      <w:r>
        <w:rPr>
          <w:rFonts w:hint="eastAsia" w:ascii="幼圆" w:hAnsi="仿宋" w:eastAsia="幼圆" w:cs="Times New Roman"/>
          <w:sz w:val="23"/>
          <w:szCs w:val="23"/>
        </w:rPr>
        <w:t>3、如有更为详尽的贵方介绍，可自行添加为本表附件。</w:t>
      </w:r>
    </w:p>
    <w:p>
      <w:pPr>
        <w:pStyle w:val="22"/>
        <w:spacing w:before="156" w:beforeLines="50" w:after="156" w:afterLines="50" w:line="391" w:lineRule="atLeast"/>
        <w:jc w:val="both"/>
        <w:rPr>
          <w:rFonts w:ascii="幼圆" w:hAnsi="仿宋" w:eastAsia="幼圆" w:cs="Times New Roman"/>
          <w:sz w:val="23"/>
          <w:szCs w:val="23"/>
        </w:rPr>
      </w:pPr>
    </w:p>
    <w:p>
      <w:pPr>
        <w:pStyle w:val="22"/>
        <w:spacing w:before="156" w:beforeLines="50" w:after="156" w:afterLines="50" w:line="391" w:lineRule="atLeast"/>
        <w:jc w:val="both"/>
        <w:rPr>
          <w:rFonts w:hint="eastAsia" w:ascii="幼圆" w:hAnsi="仿宋" w:eastAsia="幼圆" w:cs="Times New Roman"/>
          <w:sz w:val="23"/>
          <w:szCs w:val="23"/>
        </w:rPr>
      </w:pPr>
    </w:p>
    <w:p>
      <w:pPr>
        <w:pStyle w:val="22"/>
        <w:spacing w:before="156" w:beforeLines="50" w:after="156" w:afterLines="50" w:line="391" w:lineRule="atLeast"/>
        <w:ind w:right="225" w:rightChars="107"/>
        <w:jc w:val="right"/>
        <w:rPr>
          <w:rFonts w:ascii="幼圆" w:hAnsi="仿宋" w:eastAsia="幼圆" w:cs="Times New Roman"/>
          <w:sz w:val="23"/>
          <w:szCs w:val="23"/>
        </w:rPr>
      </w:pPr>
      <w:r>
        <w:rPr>
          <w:rFonts w:hint="eastAsia" w:ascii="幼圆" w:hAnsi="仿宋" w:eastAsia="幼圆" w:cs="Times New Roman"/>
          <w:sz w:val="23"/>
          <w:szCs w:val="23"/>
        </w:rPr>
        <w:t>【响应人公司名称】</w:t>
      </w:r>
    </w:p>
    <w:p>
      <w:pPr>
        <w:pStyle w:val="22"/>
        <w:spacing w:before="156" w:beforeLines="50" w:after="156" w:afterLines="50" w:line="391" w:lineRule="atLeast"/>
        <w:ind w:right="225" w:rightChars="107"/>
        <w:jc w:val="right"/>
        <w:rPr>
          <w:rFonts w:hint="eastAsia" w:ascii="幼圆" w:hAnsi="仿宋" w:eastAsia="幼圆" w:cs="Times New Roman"/>
          <w:sz w:val="23"/>
          <w:szCs w:val="23"/>
        </w:rPr>
      </w:pPr>
    </w:p>
    <w:p>
      <w:pPr>
        <w:pStyle w:val="22"/>
        <w:spacing w:before="156" w:beforeLines="50" w:after="156" w:afterLines="50" w:line="391" w:lineRule="atLeast"/>
        <w:ind w:right="225" w:rightChars="107"/>
        <w:jc w:val="right"/>
        <w:rPr>
          <w:rFonts w:hint="eastAsia" w:ascii="幼圆" w:hAnsi="仿宋" w:eastAsia="幼圆" w:cs="Times New Roman"/>
          <w:sz w:val="23"/>
          <w:szCs w:val="23"/>
        </w:rPr>
      </w:pPr>
      <w:r>
        <w:rPr>
          <w:rFonts w:hint="eastAsia" w:ascii="幼圆" w:hAnsi="仿宋" w:eastAsia="幼圆" w:cs="Times New Roman"/>
          <w:sz w:val="23"/>
          <w:szCs w:val="23"/>
        </w:rPr>
        <w:t>【响应人公司印章】</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赐.">
    <w:altName w:val="仿宋"/>
    <w:panose1 w:val="00000000000000000000"/>
    <w:charset w:val="86"/>
    <w:family w:val="roman"/>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78547266"/>
      <w:docPartObj>
        <w:docPartGallery w:val="autotext"/>
      </w:docPartObj>
    </w:sdtPr>
    <w:sdtContent>
      <w:p>
        <w:pPr>
          <w:pStyle w:val="7"/>
          <w:jc w:val="center"/>
        </w:pPr>
        <w:r>
          <w:fldChar w:fldCharType="begin"/>
        </w:r>
        <w:r>
          <w:instrText xml:space="preserve">PAGE   \* MERGEFORMAT</w:instrText>
        </w:r>
        <w:r>
          <w:fldChar w:fldCharType="separate"/>
        </w:r>
        <w:r>
          <w:rPr>
            <w:lang w:val="zh-CN"/>
          </w:rPr>
          <w:t>2</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EzODRkNWE1NGVhMTkxY2Q5YjkwYzAxMjE0Yjk3MDAifQ=="/>
  </w:docVars>
  <w:rsids>
    <w:rsidRoot w:val="00B83B0C"/>
    <w:rsid w:val="00005F8B"/>
    <w:rsid w:val="00045108"/>
    <w:rsid w:val="0005167B"/>
    <w:rsid w:val="000C18B9"/>
    <w:rsid w:val="002A65AA"/>
    <w:rsid w:val="002D7D28"/>
    <w:rsid w:val="003B5A68"/>
    <w:rsid w:val="003F3872"/>
    <w:rsid w:val="005104C0"/>
    <w:rsid w:val="005560AC"/>
    <w:rsid w:val="00753ECA"/>
    <w:rsid w:val="007747BC"/>
    <w:rsid w:val="00847CBB"/>
    <w:rsid w:val="008660FE"/>
    <w:rsid w:val="009C6325"/>
    <w:rsid w:val="009F162F"/>
    <w:rsid w:val="00A3155C"/>
    <w:rsid w:val="00A7122F"/>
    <w:rsid w:val="00AB7D17"/>
    <w:rsid w:val="00B2094A"/>
    <w:rsid w:val="00B83B0C"/>
    <w:rsid w:val="00C62A84"/>
    <w:rsid w:val="00FC3995"/>
    <w:rsid w:val="13D33555"/>
    <w:rsid w:val="25E73F3B"/>
    <w:rsid w:val="29D02837"/>
    <w:rsid w:val="2E9402F8"/>
    <w:rsid w:val="37D61066"/>
    <w:rsid w:val="476E49D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unhideWhenUsed="0" w:uiPriority="0" w:semiHidden="0" w:name="page number"/>
    <w:lsdException w:qFormat="1" w:unhideWhenUsed="0" w:uiPriority="99" w:semiHidden="0" w:name="endnote reference"/>
    <w:lsdException w:qFormat="1" w:unhideWhenUsed="0"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2"/>
      <w:lang w:val="en-US" w:eastAsia="zh-CN" w:bidi="ar-SA"/>
    </w:rPr>
  </w:style>
  <w:style w:type="paragraph" w:styleId="2">
    <w:name w:val="heading 1"/>
    <w:basedOn w:val="1"/>
    <w:next w:val="1"/>
    <w:link w:val="32"/>
    <w:qFormat/>
    <w:uiPriority w:val="9"/>
    <w:pPr>
      <w:keepNext/>
      <w:keepLines/>
      <w:spacing w:before="340" w:after="330" w:line="578" w:lineRule="auto"/>
      <w:outlineLvl w:val="0"/>
    </w:pPr>
    <w:rPr>
      <w:b/>
      <w:bCs/>
      <w:kern w:val="44"/>
      <w:sz w:val="44"/>
      <w:szCs w:val="44"/>
    </w:rPr>
  </w:style>
  <w:style w:type="character" w:default="1" w:styleId="12">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3">
    <w:name w:val="Document Map"/>
    <w:basedOn w:val="1"/>
    <w:link w:val="21"/>
    <w:autoRedefine/>
    <w:qFormat/>
    <w:uiPriority w:val="99"/>
    <w:rPr>
      <w:rFonts w:ascii="宋体"/>
      <w:sz w:val="18"/>
      <w:szCs w:val="18"/>
    </w:rPr>
  </w:style>
  <w:style w:type="paragraph" w:styleId="4">
    <w:name w:val="annotation text"/>
    <w:basedOn w:val="1"/>
    <w:link w:val="18"/>
    <w:autoRedefine/>
    <w:qFormat/>
    <w:uiPriority w:val="99"/>
    <w:pPr>
      <w:jc w:val="left"/>
    </w:pPr>
  </w:style>
  <w:style w:type="paragraph" w:styleId="5">
    <w:name w:val="endnote text"/>
    <w:basedOn w:val="1"/>
    <w:link w:val="31"/>
    <w:autoRedefine/>
    <w:qFormat/>
    <w:uiPriority w:val="99"/>
    <w:pPr>
      <w:snapToGrid w:val="0"/>
      <w:jc w:val="left"/>
    </w:pPr>
  </w:style>
  <w:style w:type="paragraph" w:styleId="6">
    <w:name w:val="Balloon Text"/>
    <w:basedOn w:val="1"/>
    <w:link w:val="20"/>
    <w:autoRedefine/>
    <w:qFormat/>
    <w:uiPriority w:val="99"/>
    <w:rPr>
      <w:sz w:val="18"/>
      <w:szCs w:val="18"/>
    </w:rPr>
  </w:style>
  <w:style w:type="paragraph" w:styleId="7">
    <w:name w:val="footer"/>
    <w:basedOn w:val="1"/>
    <w:link w:val="17"/>
    <w:autoRedefine/>
    <w:qFormat/>
    <w:uiPriority w:val="99"/>
    <w:pPr>
      <w:tabs>
        <w:tab w:val="center" w:pos="4153"/>
        <w:tab w:val="right" w:pos="8306"/>
      </w:tabs>
      <w:snapToGrid w:val="0"/>
      <w:jc w:val="left"/>
    </w:pPr>
    <w:rPr>
      <w:sz w:val="18"/>
      <w:szCs w:val="18"/>
    </w:rPr>
  </w:style>
  <w:style w:type="paragraph" w:styleId="8">
    <w:name w:val="header"/>
    <w:basedOn w:val="1"/>
    <w:link w:val="16"/>
    <w:autoRedefine/>
    <w:qFormat/>
    <w:uiPriority w:val="99"/>
    <w:pPr>
      <w:pBdr>
        <w:bottom w:val="single" w:color="auto" w:sz="6" w:space="1"/>
      </w:pBdr>
      <w:tabs>
        <w:tab w:val="center" w:pos="4153"/>
        <w:tab w:val="right" w:pos="8306"/>
      </w:tabs>
      <w:snapToGrid w:val="0"/>
      <w:jc w:val="center"/>
    </w:pPr>
    <w:rPr>
      <w:sz w:val="18"/>
      <w:szCs w:val="18"/>
    </w:rPr>
  </w:style>
  <w:style w:type="paragraph" w:styleId="9">
    <w:name w:val="Title"/>
    <w:basedOn w:val="1"/>
    <w:next w:val="1"/>
    <w:link w:val="24"/>
    <w:autoRedefine/>
    <w:qFormat/>
    <w:uiPriority w:val="10"/>
    <w:pPr>
      <w:spacing w:before="240" w:after="60"/>
      <w:jc w:val="center"/>
      <w:outlineLvl w:val="0"/>
    </w:pPr>
    <w:rPr>
      <w:rFonts w:ascii="Cambria" w:hAnsi="Cambria"/>
      <w:b/>
      <w:bCs/>
      <w:sz w:val="32"/>
      <w:szCs w:val="32"/>
    </w:rPr>
  </w:style>
  <w:style w:type="paragraph" w:styleId="10">
    <w:name w:val="annotation subject"/>
    <w:basedOn w:val="4"/>
    <w:next w:val="4"/>
    <w:link w:val="19"/>
    <w:autoRedefine/>
    <w:qFormat/>
    <w:uiPriority w:val="99"/>
    <w:rPr>
      <w:b/>
      <w:bCs/>
    </w:rPr>
  </w:style>
  <w:style w:type="character" w:styleId="13">
    <w:name w:val="endnote reference"/>
    <w:basedOn w:val="12"/>
    <w:autoRedefine/>
    <w:qFormat/>
    <w:uiPriority w:val="99"/>
    <w:rPr>
      <w:vertAlign w:val="superscript"/>
    </w:rPr>
  </w:style>
  <w:style w:type="character" w:styleId="14">
    <w:name w:val="Hyperlink"/>
    <w:basedOn w:val="12"/>
    <w:autoRedefine/>
    <w:qFormat/>
    <w:uiPriority w:val="99"/>
    <w:rPr>
      <w:color w:val="0000FF"/>
      <w:u w:val="single"/>
    </w:rPr>
  </w:style>
  <w:style w:type="character" w:styleId="15">
    <w:name w:val="annotation reference"/>
    <w:basedOn w:val="12"/>
    <w:autoRedefine/>
    <w:qFormat/>
    <w:uiPriority w:val="99"/>
    <w:rPr>
      <w:sz w:val="21"/>
      <w:szCs w:val="21"/>
    </w:rPr>
  </w:style>
  <w:style w:type="character" w:customStyle="1" w:styleId="16">
    <w:name w:val="页眉 字符"/>
    <w:basedOn w:val="12"/>
    <w:link w:val="8"/>
    <w:autoRedefine/>
    <w:qFormat/>
    <w:uiPriority w:val="99"/>
    <w:rPr>
      <w:sz w:val="18"/>
      <w:szCs w:val="18"/>
    </w:rPr>
  </w:style>
  <w:style w:type="character" w:customStyle="1" w:styleId="17">
    <w:name w:val="页脚 字符"/>
    <w:basedOn w:val="12"/>
    <w:link w:val="7"/>
    <w:autoRedefine/>
    <w:qFormat/>
    <w:uiPriority w:val="99"/>
    <w:rPr>
      <w:sz w:val="18"/>
      <w:szCs w:val="18"/>
    </w:rPr>
  </w:style>
  <w:style w:type="character" w:customStyle="1" w:styleId="18">
    <w:name w:val="批注文字 字符"/>
    <w:basedOn w:val="12"/>
    <w:link w:val="4"/>
    <w:autoRedefine/>
    <w:qFormat/>
    <w:uiPriority w:val="99"/>
  </w:style>
  <w:style w:type="character" w:customStyle="1" w:styleId="19">
    <w:name w:val="批注主题 字符"/>
    <w:basedOn w:val="18"/>
    <w:link w:val="10"/>
    <w:autoRedefine/>
    <w:qFormat/>
    <w:uiPriority w:val="99"/>
    <w:rPr>
      <w:b/>
      <w:bCs/>
    </w:rPr>
  </w:style>
  <w:style w:type="character" w:customStyle="1" w:styleId="20">
    <w:name w:val="批注框文本 字符"/>
    <w:basedOn w:val="12"/>
    <w:link w:val="6"/>
    <w:autoRedefine/>
    <w:qFormat/>
    <w:uiPriority w:val="99"/>
    <w:rPr>
      <w:sz w:val="18"/>
      <w:szCs w:val="18"/>
    </w:rPr>
  </w:style>
  <w:style w:type="character" w:customStyle="1" w:styleId="21">
    <w:name w:val="文档结构图 字符"/>
    <w:basedOn w:val="12"/>
    <w:link w:val="3"/>
    <w:autoRedefine/>
    <w:qFormat/>
    <w:uiPriority w:val="99"/>
    <w:rPr>
      <w:rFonts w:ascii="宋体" w:eastAsia="宋体"/>
      <w:sz w:val="18"/>
      <w:szCs w:val="18"/>
    </w:rPr>
  </w:style>
  <w:style w:type="paragraph" w:customStyle="1" w:styleId="22">
    <w:name w:val="Default"/>
    <w:autoRedefine/>
    <w:qFormat/>
    <w:uiPriority w:val="0"/>
    <w:pPr>
      <w:widowControl w:val="0"/>
      <w:autoSpaceDE w:val="0"/>
      <w:autoSpaceDN w:val="0"/>
      <w:adjustRightInd w:val="0"/>
    </w:pPr>
    <w:rPr>
      <w:rFonts w:ascii="仿宋.赐." w:hAnsi="Calibri" w:eastAsia="仿宋.赐." w:cs="仿宋.赐."/>
      <w:color w:val="000000"/>
      <w:sz w:val="24"/>
      <w:szCs w:val="24"/>
      <w:lang w:val="en-US" w:eastAsia="zh-CN" w:bidi="ar-SA"/>
    </w:rPr>
  </w:style>
  <w:style w:type="paragraph" w:styleId="23">
    <w:name w:val="List Paragraph"/>
    <w:basedOn w:val="1"/>
    <w:autoRedefine/>
    <w:qFormat/>
    <w:uiPriority w:val="34"/>
    <w:pPr>
      <w:ind w:firstLine="420" w:firstLineChars="200"/>
    </w:pPr>
  </w:style>
  <w:style w:type="character" w:customStyle="1" w:styleId="24">
    <w:name w:val="标题 字符"/>
    <w:basedOn w:val="12"/>
    <w:link w:val="9"/>
    <w:autoRedefine/>
    <w:qFormat/>
    <w:uiPriority w:val="10"/>
    <w:rPr>
      <w:rFonts w:ascii="Cambria" w:hAnsi="Cambria" w:eastAsia="宋体" w:cs="宋体"/>
      <w:b/>
      <w:bCs/>
      <w:sz w:val="32"/>
      <w:szCs w:val="32"/>
    </w:rPr>
  </w:style>
  <w:style w:type="paragraph" w:customStyle="1" w:styleId="25">
    <w:name w:val="AOHead2"/>
    <w:basedOn w:val="26"/>
    <w:next w:val="30"/>
    <w:autoRedefine/>
    <w:qFormat/>
    <w:uiPriority w:val="0"/>
    <w:pPr>
      <w:keepNext/>
      <w:spacing w:before="0" w:line="360" w:lineRule="auto"/>
      <w:ind w:right="210" w:rightChars="100"/>
      <w:outlineLvl w:val="0"/>
    </w:pPr>
    <w:rPr>
      <w:rFonts w:ascii="Arial" w:hAnsi="Arial" w:eastAsia="黑体" w:cs="Arial"/>
      <w:bCs/>
      <w:kern w:val="28"/>
      <w:sz w:val="24"/>
      <w:lang w:eastAsia="zh-CN"/>
    </w:rPr>
  </w:style>
  <w:style w:type="paragraph" w:customStyle="1" w:styleId="26">
    <w:name w:val="AOHeadings"/>
    <w:basedOn w:val="27"/>
    <w:next w:val="29"/>
    <w:autoRedefine/>
    <w:qFormat/>
    <w:uiPriority w:val="0"/>
  </w:style>
  <w:style w:type="paragraph" w:customStyle="1" w:styleId="27">
    <w:name w:val="AOBodyTxt"/>
    <w:basedOn w:val="28"/>
    <w:next w:val="29"/>
    <w:autoRedefine/>
    <w:qFormat/>
    <w:uiPriority w:val="0"/>
    <w:pPr>
      <w:spacing w:before="240"/>
    </w:pPr>
  </w:style>
  <w:style w:type="paragraph" w:customStyle="1" w:styleId="28">
    <w:name w:val="AONormal"/>
    <w:autoRedefine/>
    <w:qFormat/>
    <w:uiPriority w:val="0"/>
    <w:pPr>
      <w:spacing w:line="260" w:lineRule="atLeast"/>
      <w:jc w:val="both"/>
    </w:pPr>
    <w:rPr>
      <w:rFonts w:ascii="Calibri" w:hAnsi="Calibri" w:eastAsia="宋体" w:cs="Times New Roman"/>
      <w:kern w:val="2"/>
      <w:sz w:val="22"/>
      <w:szCs w:val="24"/>
      <w:lang w:val="en-GB" w:eastAsia="en-US" w:bidi="ar-SA"/>
    </w:rPr>
  </w:style>
  <w:style w:type="paragraph" w:customStyle="1" w:styleId="29">
    <w:name w:val="AODocTxt"/>
    <w:basedOn w:val="27"/>
    <w:autoRedefine/>
    <w:qFormat/>
    <w:uiPriority w:val="0"/>
  </w:style>
  <w:style w:type="paragraph" w:customStyle="1" w:styleId="30">
    <w:name w:val="AODocTxtL1"/>
    <w:basedOn w:val="29"/>
    <w:autoRedefine/>
    <w:qFormat/>
    <w:uiPriority w:val="0"/>
    <w:pPr>
      <w:widowControl w:val="0"/>
      <w:spacing w:beforeLines="50" w:afterLines="50" w:line="300" w:lineRule="auto"/>
      <w:ind w:left="420" w:leftChars="200" w:firstLine="480" w:firstLineChars="200"/>
      <w:jc w:val="left"/>
    </w:pPr>
    <w:rPr>
      <w:rFonts w:ascii="宋体"/>
      <w:bCs/>
      <w:color w:val="000000"/>
      <w:sz w:val="24"/>
      <w:lang w:eastAsia="zh-CN"/>
    </w:rPr>
  </w:style>
  <w:style w:type="character" w:customStyle="1" w:styleId="31">
    <w:name w:val="尾注文本 字符"/>
    <w:basedOn w:val="12"/>
    <w:link w:val="5"/>
    <w:autoRedefine/>
    <w:qFormat/>
    <w:uiPriority w:val="99"/>
    <w:rPr>
      <w:kern w:val="2"/>
      <w:sz w:val="21"/>
      <w:szCs w:val="22"/>
    </w:rPr>
  </w:style>
  <w:style w:type="character" w:customStyle="1" w:styleId="32">
    <w:name w:val="标题 1 字符"/>
    <w:basedOn w:val="12"/>
    <w:link w:val="2"/>
    <w:autoRedefine/>
    <w:qFormat/>
    <w:uiPriority w:val="9"/>
    <w:rPr>
      <w:b/>
      <w:bCs/>
      <w:kern w:val="44"/>
      <w:sz w:val="44"/>
      <w:szCs w:val="4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D8AA7A-71B7-46EA-AE62-7793014F5AD0}">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Pages>
  <Words>264</Words>
  <Characters>1510</Characters>
  <Lines>12</Lines>
  <Paragraphs>3</Paragraphs>
  <TotalTime>7</TotalTime>
  <ScaleCrop>false</ScaleCrop>
  <LinksUpToDate>false</LinksUpToDate>
  <CharactersWithSpaces>1771</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2024-05-14T01:16:00Z</dcterms:created>
  <dc:creator>徐彤</dc:creator>
  <cp:lastModifiedBy>administrator</cp:lastModifiedBy>
  <cp:lastPrinted>2024-05-08T00:13:00Z</cp:lastPrinted>
  <dcterms:modified xsi:type="dcterms:W3CDTF">2024-05-14T14:55:55Z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6B075E8D7A5E4FBAA276648AE0ADBBDE_13</vt:lpwstr>
  </property>
</Properties>
</file>